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7743E">
      <w:pPr>
        <w:pStyle w:val="2"/>
        <w:keepNext w:val="0"/>
        <w:keepLines w:val="0"/>
        <w:widowControl/>
        <w:suppressLineNumbers w:val="0"/>
      </w:pPr>
      <w:r>
        <w:t>Titanium alloys like Ti6Al4V offer an unmatched combination of high strength, low density, and thermal stability. During the SLM or DMLS process, the build plate endures extreme laser heat and rapid cooling, cycle after cycle. Unlike steel or aluminum, titanium maintains its structure and flatness without distortion. Its low thermal expansion prevents warping, ensuring every layer of powder is deposited on a perfectly stable base.</w:t>
      </w:r>
    </w:p>
    <w:p w14:paraId="2E6C02CD">
      <w:pPr>
        <w:pStyle w:val="2"/>
        <w:keepNext w:val="0"/>
        <w:keepLines w:val="0"/>
        <w:widowControl/>
        <w:suppressLineNumbers w:val="0"/>
      </w:pPr>
      <w:r>
        <w:t>This reliability makes titanium the material of choice for high-value applications where even microscopic inaccuracies can lead to print failure — such as aerospace components, surgical implants, and precision industrial tools.</w:t>
      </w:r>
    </w:p>
    <w:p w14:paraId="65A418E6">
      <w:pPr>
        <w:pStyle w:val="2"/>
        <w:keepNext w:val="0"/>
        <w:keepLines w:val="0"/>
        <w:widowControl/>
        <w:suppressLineNumbers w:val="0"/>
      </w:pPr>
      <w:r>
        <w:t>we know deeply that every additive manufacturing system operates differently. They differ in build sizes, mounting styles, and laser configurations. That’s why we offer customized titanium build plates. No matter your system is large-format or compact, we tailor the dimensions, edge features, and surface treatments to your specific needs.</w:t>
      </w:r>
    </w:p>
    <w:p w14:paraId="25F396FB">
      <w:pPr>
        <w:pStyle w:val="2"/>
        <w:keepNext w:val="0"/>
        <w:keepLines w:val="0"/>
        <w:widowControl/>
        <w:suppressLineNumbers w:val="0"/>
      </w:pPr>
      <w:r>
        <w:t>Our titanium build plates are engineered with meticulous attention to details, ensuring stability and accuracy of the printing process. We start production from using premium titanium billets that undergo double vacuum melting to eliminate inclusions and impurities and enhance thermal conductivity and mechanical consistency. The plates are then machined to exact tolerances and heat-treated under controlled conditions to relieve internal stresses. Using CNC machining and laser measurement systems, we guarantee uniform surface quality and thickness precision within micrometer-level tolerances. That’s why our titanium build plates can provide better adhesion, lowest risk of distortion of the part from the platform and longer lifespan.</w:t>
      </w:r>
    </w:p>
    <w:p w14:paraId="00D78CFC">
      <w:pPr>
        <w:pStyle w:val="2"/>
        <w:keepNext w:val="0"/>
        <w:keepLines w:val="0"/>
        <w:widowControl/>
        <w:suppressLineNumbers w:val="0"/>
      </w:pPr>
      <w:r>
        <w:t>No matter you’re printing small intricate components or large complex industrial parts, our engineers are always here to help you select the right plate thickness and finish based on your laser type, build chamber conditions and printing materials to elevate your 3D printing capabilities.</w:t>
      </w:r>
    </w:p>
    <w:p w14:paraId="6000212F">
      <w:pPr>
        <w:keepNext w:val="0"/>
        <w:keepLines w:val="0"/>
        <w:widowControl/>
        <w:numPr>
          <w:numId w:val="0"/>
        </w:numPr>
        <w:suppressLineNumbers w:val="0"/>
        <w:pBdr>
          <w:top w:val="none" w:color="575651" w:sz="0" w:space="0"/>
          <w:left w:val="none" w:color="575651" w:sz="0" w:space="0"/>
          <w:bottom w:val="none" w:color="575651" w:sz="0" w:space="0"/>
          <w:right w:val="none" w:color="575651" w:sz="0" w:space="0"/>
        </w:pBdr>
        <w:tabs>
          <w:tab w:val="left" w:pos="720"/>
        </w:tabs>
        <w:spacing w:before="0" w:beforeAutospacing="0" w:after="0" w:afterAutospacing="0"/>
        <w:ind w:right="0" w:rightChars="0"/>
        <w:jc w:val="both"/>
        <w:textAlignment w:val="baseline"/>
        <w:rPr>
          <w:rFonts w:hint="default" w:ascii="Helvetica" w:hAnsi="Helvetica" w:eastAsia="Helvetica" w:cs="Helvetica"/>
          <w:i w:val="0"/>
          <w:iCs w:val="0"/>
          <w:caps w:val="0"/>
          <w:color w:val="666666"/>
          <w:spacing w:val="0"/>
          <w:sz w:val="18"/>
          <w:szCs w:val="18"/>
          <w:shd w:val="clear" w:fill="FFFFFF"/>
          <w:vertAlign w:val="baseline"/>
        </w:rPr>
      </w:pPr>
      <w:bookmarkStart w:id="0" w:name="_GoBack"/>
      <w:bookmarkEnd w:id="0"/>
    </w:p>
    <w:p w14:paraId="4155F6E4">
      <w:pPr>
        <w:keepNext w:val="0"/>
        <w:keepLines w:val="0"/>
        <w:widowControl/>
        <w:numPr>
          <w:numId w:val="0"/>
        </w:numPr>
        <w:suppressLineNumbers w:val="0"/>
        <w:pBdr>
          <w:top w:val="none" w:color="575651" w:sz="0" w:space="0"/>
          <w:left w:val="none" w:color="575651" w:sz="0" w:space="0"/>
          <w:bottom w:val="none" w:color="575651" w:sz="0" w:space="0"/>
          <w:right w:val="none" w:color="575651" w:sz="0" w:space="0"/>
        </w:pBdr>
        <w:spacing w:before="0" w:beforeAutospacing="0" w:after="0" w:afterAutospacing="0" w:line="347" w:lineRule="atLeast"/>
        <w:ind w:left="630" w:leftChars="0" w:right="0" w:rightChars="0"/>
        <w:textAlignment w:val="baseline"/>
        <w:rPr>
          <w:rFonts w:hint="eastAsia" w:ascii="黑体" w:hAnsi="黑体" w:eastAsia="黑体" w:cs="黑体"/>
          <w:b w:val="0"/>
          <w:bCs w:val="0"/>
          <w:color w:val="2E54A1" w:themeColor="accent1" w:themeShade="BF"/>
          <w:kern w:val="0"/>
          <w:sz w:val="24"/>
          <w:szCs w:val="24"/>
          <w:vertAlign w:val="baseline"/>
          <w:lang w:val="en-US" w:eastAsia="zh-CN" w:bidi="ar"/>
        </w:rPr>
      </w:pPr>
      <w:r>
        <w:rPr>
          <w:rFonts w:hint="eastAsia" w:ascii="黑体" w:hAnsi="黑体" w:eastAsia="黑体" w:cs="黑体"/>
          <w:b w:val="0"/>
          <w:bCs w:val="0"/>
          <w:color w:val="2E54A1" w:themeColor="accent1" w:themeShade="BF"/>
          <w:kern w:val="0"/>
          <w:sz w:val="24"/>
          <w:szCs w:val="24"/>
          <w:vertAlign w:val="baseline"/>
          <w:lang w:val="en-US" w:eastAsia="zh-CN" w:bidi="ar"/>
        </w:rPr>
        <w:t>Material:Ti-6AL-4V/Ti-6Al-4V ELI/CP Grade2/Ti-6242</w:t>
      </w:r>
    </w:p>
    <w:p w14:paraId="3B7019A2">
      <w:pPr>
        <w:keepNext w:val="0"/>
        <w:keepLines w:val="0"/>
        <w:widowControl/>
        <w:numPr>
          <w:numId w:val="0"/>
        </w:numPr>
        <w:suppressLineNumbers w:val="0"/>
        <w:pBdr>
          <w:top w:val="none" w:color="575651" w:sz="0" w:space="0"/>
          <w:left w:val="none" w:color="575651" w:sz="0" w:space="0"/>
          <w:bottom w:val="none" w:color="575651" w:sz="0" w:space="0"/>
          <w:right w:val="none" w:color="575651" w:sz="0" w:space="0"/>
        </w:pBdr>
        <w:spacing w:before="0" w:beforeAutospacing="0" w:after="0" w:afterAutospacing="0" w:line="347" w:lineRule="atLeast"/>
        <w:ind w:left="630" w:leftChars="0" w:right="0" w:rightChars="0"/>
        <w:textAlignment w:val="baseline"/>
        <w:rPr>
          <w:rFonts w:hint="eastAsia" w:ascii="黑体" w:hAnsi="黑体" w:eastAsia="黑体" w:cs="黑体"/>
          <w:b w:val="0"/>
          <w:bCs w:val="0"/>
          <w:color w:val="2E54A1" w:themeColor="accent1" w:themeShade="BF"/>
          <w:kern w:val="0"/>
          <w:sz w:val="24"/>
          <w:szCs w:val="24"/>
          <w:vertAlign w:val="baseline"/>
          <w:lang w:val="en-US" w:eastAsia="zh-CN" w:bidi="ar"/>
        </w:rPr>
      </w:pPr>
      <w:r>
        <w:rPr>
          <w:rFonts w:hint="eastAsia" w:ascii="黑体" w:hAnsi="黑体" w:eastAsia="黑体" w:cs="黑体"/>
          <w:b w:val="0"/>
          <w:bCs w:val="0"/>
          <w:color w:val="2E54A1" w:themeColor="accent1" w:themeShade="BF"/>
          <w:kern w:val="0"/>
          <w:sz w:val="24"/>
          <w:szCs w:val="24"/>
          <w:vertAlign w:val="baseline"/>
          <w:lang w:val="en-US" w:eastAsia="zh-CN" w:bidi="ar"/>
        </w:rPr>
        <w:t>Sur</w:t>
      </w:r>
      <w:r>
        <w:rPr>
          <w:rFonts w:hint="eastAsia" w:ascii="黑体" w:hAnsi="黑体" w:eastAsia="黑体" w:cs="黑体"/>
          <w:b w:val="0"/>
          <w:bCs w:val="0"/>
          <w:color w:val="2E54A1" w:themeColor="accent1" w:themeShade="BF"/>
          <w:kern w:val="0"/>
          <w:sz w:val="24"/>
          <w:szCs w:val="24"/>
          <w:vertAlign w:val="baseline"/>
          <w:lang w:val="en-US" w:eastAsia="zh-CN" w:bidi="ar"/>
        </w:rPr>
        <w:t>face:Polished, ground, and treated surfaces</w:t>
      </w:r>
    </w:p>
    <w:p w14:paraId="0BBE8BC1">
      <w:pPr>
        <w:keepNext w:val="0"/>
        <w:keepLines w:val="0"/>
        <w:widowControl/>
        <w:numPr>
          <w:ilvl w:val="0"/>
          <w:numId w:val="0"/>
        </w:numPr>
        <w:suppressLineNumbers w:val="0"/>
        <w:pBdr>
          <w:top w:val="none" w:color="575651" w:sz="0" w:space="0"/>
          <w:left w:val="none" w:color="575651" w:sz="0" w:space="0"/>
          <w:bottom w:val="none" w:color="575651" w:sz="0" w:space="0"/>
          <w:right w:val="none" w:color="575651" w:sz="0" w:space="0"/>
        </w:pBdr>
        <w:spacing w:before="0" w:beforeAutospacing="0" w:after="0" w:afterAutospacing="0" w:line="347" w:lineRule="atLeast"/>
        <w:ind w:left="630" w:leftChars="0" w:right="0" w:rightChars="0"/>
        <w:textAlignment w:val="baseline"/>
        <w:rPr>
          <w:rFonts w:hint="default" w:ascii="黑体" w:hAnsi="黑体" w:eastAsia="黑体" w:cs="黑体"/>
          <w:b w:val="0"/>
          <w:bCs w:val="0"/>
          <w:color w:val="2E54A1" w:themeColor="accent1" w:themeShade="BF"/>
          <w:kern w:val="0"/>
          <w:sz w:val="24"/>
          <w:szCs w:val="24"/>
          <w:vertAlign w:val="baseline"/>
          <w:lang w:val="en-US" w:eastAsia="zh-CN" w:bidi="ar"/>
        </w:rPr>
      </w:pPr>
      <w:r>
        <w:rPr>
          <w:rFonts w:hint="eastAsia" w:ascii="黑体" w:hAnsi="黑体" w:eastAsia="黑体" w:cs="黑体"/>
          <w:b w:val="0"/>
          <w:bCs w:val="0"/>
          <w:color w:val="2E54A1" w:themeColor="accent1" w:themeShade="BF"/>
          <w:kern w:val="0"/>
          <w:sz w:val="24"/>
          <w:szCs w:val="24"/>
          <w:vertAlign w:val="baseline"/>
          <w:lang w:val="en-US" w:eastAsia="zh-CN" w:bidi="ar"/>
        </w:rPr>
        <w:t>Shape:Flat,Square,Round</w:t>
      </w:r>
    </w:p>
    <w:p w14:paraId="5DB73520">
      <w:pPr>
        <w:pStyle w:val="2"/>
        <w:keepNext w:val="0"/>
        <w:keepLines w:val="0"/>
        <w:widowControl/>
        <w:suppressLineNumbers w:val="0"/>
        <w:rPr>
          <w:rFonts w:hint="eastAsia" w:ascii="黑体" w:hAnsi="黑体" w:eastAsia="黑体" w:cs="黑体"/>
          <w:b w:val="0"/>
          <w:bCs w:val="0"/>
          <w:color w:val="2E54A1" w:themeColor="accent1" w:themeShade="BF"/>
          <w:sz w:val="24"/>
          <w:szCs w:val="24"/>
          <w:vertAlign w:val="baseline"/>
          <w:lang w:val="en-US" w:eastAsia="zh-CN"/>
        </w:rPr>
      </w:pPr>
      <w:r>
        <w:rPr>
          <w:rFonts w:hint="eastAsia" w:ascii="黑体" w:hAnsi="黑体" w:eastAsia="黑体" w:cs="黑体"/>
          <w:b w:val="0"/>
          <w:bCs w:val="0"/>
          <w:color w:val="2E54A1" w:themeColor="accent1" w:themeShade="BF"/>
          <w:sz w:val="24"/>
          <w:szCs w:val="24"/>
          <w:vertAlign w:val="baseline"/>
          <w:lang w:val="en-US" w:eastAsia="zh-CN"/>
        </w:rPr>
        <w:t>Our titanium build plate isn’t just a flat piece of metal, It’s the foundation for precision, stability, and long-term performance.</w:t>
      </w:r>
      <w:r>
        <w:rPr>
          <w:rFonts w:hint="eastAsia" w:ascii="黑体" w:hAnsi="黑体" w:eastAsia="黑体" w:cs="黑体"/>
          <w:b w:val="0"/>
          <w:bCs w:val="0"/>
          <w:color w:val="2E54A1" w:themeColor="accent1" w:themeShade="BF"/>
          <w:sz w:val="24"/>
          <w:szCs w:val="24"/>
          <w:vertAlign w:val="baseline"/>
          <w:lang w:val="en-US" w:eastAsia="zh-CN"/>
        </w:rPr>
        <w:t>In metal 3D printing, the build platform’s stability directly affects product accuracy. Warping, uneven thermal expansion, or substrate fatigue can lead to layer misalignment and print failure. Our titanium build plates are specifically engineered to resist these challenges. We apply advanced machining and controlled heat treatments to achieve exceptional flatness and reduce internal stress — ensuring that each print starts on a solid, reliable foundation.</w:t>
      </w:r>
    </w:p>
    <w:p w14:paraId="2A52751D">
      <w:pPr>
        <w:keepNext w:val="0"/>
        <w:keepLines w:val="0"/>
        <w:widowControl/>
        <w:numPr>
          <w:numId w:val="0"/>
        </w:numPr>
        <w:suppressLineNumbers w:val="0"/>
        <w:pBdr>
          <w:top w:val="none" w:color="575651" w:sz="0" w:space="0"/>
          <w:left w:val="none" w:color="575651" w:sz="0" w:space="0"/>
          <w:bottom w:val="none" w:color="575651" w:sz="0" w:space="0"/>
          <w:right w:val="none" w:color="575651" w:sz="0" w:space="0"/>
        </w:pBdr>
        <w:spacing w:before="0" w:beforeAutospacing="0" w:after="0" w:afterAutospacing="0" w:line="347" w:lineRule="atLeast"/>
        <w:ind w:right="0" w:rightChars="0"/>
        <w:textAlignment w:val="baseline"/>
        <w:rPr>
          <w:rFonts w:hint="eastAsia" w:eastAsiaTheme="minorEastAsia"/>
          <w:sz w:val="36"/>
          <w:szCs w:val="36"/>
          <w:vertAlign w:val="baseline"/>
          <w:lang w:val="en-US" w:eastAsia="zh-CN"/>
        </w:rPr>
      </w:pPr>
      <w:r>
        <w:rPr>
          <w:rFonts w:hint="default"/>
          <w:sz w:val="36"/>
          <w:szCs w:val="36"/>
          <w:vertAlign w:val="baseline"/>
        </w:rPr>
        <w:t>Key Features &amp; Benefits</w:t>
      </w:r>
    </w:p>
    <w:p w14:paraId="066FB5B5">
      <w:pPr>
        <w:keepNext w:val="0"/>
        <w:keepLines w:val="0"/>
        <w:widowControl/>
        <w:numPr>
          <w:ilvl w:val="0"/>
          <w:numId w:val="1"/>
        </w:numPr>
        <w:suppressLineNumbers w:val="0"/>
        <w:pBdr>
          <w:top w:val="none" w:color="575651" w:sz="0" w:space="0"/>
          <w:left w:val="none" w:color="575651" w:sz="0" w:space="0"/>
          <w:bottom w:val="none" w:color="575651" w:sz="0" w:space="0"/>
          <w:right w:val="none" w:color="575651" w:sz="0" w:space="0"/>
        </w:pBdr>
        <w:spacing w:before="0" w:beforeAutospacing="0" w:after="0" w:afterAutospacing="0" w:line="347" w:lineRule="atLeast"/>
        <w:ind w:left="630" w:leftChars="0" w:right="0" w:firstLine="0" w:firstLineChars="0"/>
        <w:textAlignment w:val="baseline"/>
        <w:rPr>
          <w:sz w:val="16"/>
          <w:szCs w:val="16"/>
        </w:rPr>
      </w:pPr>
      <w:r>
        <w:rPr>
          <w:vertAlign w:val="baseline"/>
        </w:rPr>
        <w:t>Longer lifespan</w:t>
      </w:r>
      <w:r>
        <w:rPr>
          <w:rFonts w:hint="eastAsia"/>
          <w:vertAlign w:val="baseline"/>
          <w:lang w:val="en-US" w:eastAsia="zh-CN"/>
        </w:rPr>
        <w:t xml:space="preserve"> compared to traditional standard plate</w:t>
      </w:r>
    </w:p>
    <w:p w14:paraId="7531847D">
      <w:pPr>
        <w:keepNext w:val="0"/>
        <w:keepLines w:val="0"/>
        <w:widowControl/>
        <w:numPr>
          <w:ilvl w:val="0"/>
          <w:numId w:val="1"/>
        </w:numPr>
        <w:suppressLineNumbers w:val="0"/>
        <w:pBdr>
          <w:top w:val="none" w:color="575651" w:sz="0" w:space="0"/>
          <w:left w:val="none" w:color="575651" w:sz="0" w:space="0"/>
          <w:bottom w:val="none" w:color="575651" w:sz="0" w:space="0"/>
          <w:right w:val="none" w:color="575651" w:sz="0" w:space="0"/>
        </w:pBdr>
        <w:spacing w:before="0" w:beforeAutospacing="0" w:after="0" w:afterAutospacing="0" w:line="347" w:lineRule="atLeast"/>
        <w:ind w:left="630" w:leftChars="0" w:right="0" w:firstLine="0" w:firstLineChars="0"/>
        <w:textAlignment w:val="baseline"/>
        <w:rPr>
          <w:rFonts w:hint="default" w:ascii="Helvetica" w:hAnsi="Helvetica" w:eastAsia="Helvetica" w:cs="Helvetica"/>
          <w:i w:val="0"/>
          <w:iCs w:val="0"/>
          <w:caps w:val="0"/>
          <w:color w:val="666666"/>
          <w:spacing w:val="0"/>
          <w:sz w:val="18"/>
          <w:szCs w:val="18"/>
          <w:shd w:val="clear" w:fill="FFFFFF"/>
          <w:vertAlign w:val="baseline"/>
        </w:rPr>
      </w:pPr>
      <w:r>
        <w:t>Tailor</w:t>
      </w:r>
      <w:r>
        <w:rPr>
          <w:rFonts w:hint="eastAsia"/>
          <w:lang w:val="en-US" w:eastAsia="zh-CN"/>
        </w:rPr>
        <w:t>ed</w:t>
      </w:r>
      <w:r>
        <w:t xml:space="preserve"> dimensions, edge features, and surface treatments to your specific needs.</w:t>
      </w:r>
    </w:p>
    <w:p w14:paraId="59F6385E">
      <w:pPr>
        <w:keepNext w:val="0"/>
        <w:keepLines w:val="0"/>
        <w:widowControl/>
        <w:numPr>
          <w:ilvl w:val="0"/>
          <w:numId w:val="1"/>
        </w:numPr>
        <w:suppressLineNumbers w:val="0"/>
        <w:pBdr>
          <w:top w:val="none" w:color="575651" w:sz="0" w:space="0"/>
          <w:left w:val="none" w:color="575651" w:sz="0" w:space="0"/>
          <w:bottom w:val="none" w:color="575651" w:sz="0" w:space="0"/>
          <w:right w:val="none" w:color="575651" w:sz="0" w:space="0"/>
        </w:pBdr>
        <w:spacing w:before="0" w:beforeAutospacing="0" w:after="0" w:afterAutospacing="0" w:line="347" w:lineRule="atLeast"/>
        <w:ind w:left="630" w:leftChars="0" w:right="0" w:firstLine="0" w:firstLineChars="0"/>
        <w:textAlignment w:val="baseline"/>
        <w:rPr>
          <w:rFonts w:hint="default"/>
        </w:rPr>
      </w:pPr>
      <w:r>
        <w:rPr>
          <w:rFonts w:hint="default"/>
        </w:rPr>
        <w:t>High-Precision Performance: Ideal for aerospace, medical, and industrial additive manufacturing applications.</w:t>
      </w:r>
    </w:p>
    <w:p w14:paraId="2C57B55F">
      <w:pPr>
        <w:keepNext w:val="0"/>
        <w:keepLines w:val="0"/>
        <w:widowControl/>
        <w:numPr>
          <w:ilvl w:val="0"/>
          <w:numId w:val="1"/>
        </w:numPr>
        <w:suppressLineNumbers w:val="0"/>
        <w:pBdr>
          <w:top w:val="none" w:color="575651" w:sz="0" w:space="0"/>
          <w:left w:val="none" w:color="575651" w:sz="0" w:space="0"/>
          <w:bottom w:val="none" w:color="575651" w:sz="0" w:space="0"/>
          <w:right w:val="none" w:color="575651" w:sz="0" w:space="0"/>
        </w:pBdr>
        <w:spacing w:before="0" w:beforeAutospacing="0" w:after="0" w:afterAutospacing="0" w:line="347" w:lineRule="atLeast"/>
        <w:ind w:left="630" w:leftChars="0" w:right="0" w:firstLine="0" w:firstLineChars="0"/>
        <w:textAlignment w:val="baseline"/>
      </w:pPr>
      <w:r>
        <w:rPr>
          <w:vertAlign w:val="baseline"/>
        </w:rPr>
        <w:t>Unique mechanical properties significantly decreasing the risk of distortion of the part from the platform</w:t>
      </w:r>
    </w:p>
    <w:p w14:paraId="296FAE82">
      <w:pPr>
        <w:keepNext w:val="0"/>
        <w:keepLines w:val="0"/>
        <w:widowControl/>
        <w:numPr>
          <w:ilvl w:val="0"/>
          <w:numId w:val="1"/>
        </w:numPr>
        <w:suppressLineNumbers w:val="0"/>
        <w:pBdr>
          <w:top w:val="none" w:color="575651" w:sz="0" w:space="0"/>
          <w:left w:val="none" w:color="575651" w:sz="0" w:space="0"/>
          <w:bottom w:val="none" w:color="575651" w:sz="0" w:space="0"/>
          <w:right w:val="none" w:color="575651" w:sz="0" w:space="0"/>
        </w:pBdr>
        <w:spacing w:before="0" w:beforeAutospacing="0" w:after="0" w:afterAutospacing="0" w:line="347" w:lineRule="atLeast"/>
        <w:ind w:left="630" w:leftChars="0" w:right="0" w:firstLine="0" w:firstLineChars="0"/>
        <w:textAlignment w:val="baseline"/>
      </w:pPr>
      <w:r>
        <w:rPr>
          <w:vertAlign w:val="baseline"/>
        </w:rPr>
        <w:t>Thermal stability of the plate assured</w:t>
      </w:r>
    </w:p>
    <w:p w14:paraId="089FEE15">
      <w:pPr>
        <w:keepNext w:val="0"/>
        <w:keepLines w:val="0"/>
        <w:widowControl/>
        <w:numPr>
          <w:numId w:val="0"/>
        </w:numPr>
        <w:suppressLineNumbers w:val="0"/>
        <w:pBdr>
          <w:top w:val="none" w:color="575651" w:sz="0" w:space="0"/>
          <w:left w:val="none" w:color="575651" w:sz="0" w:space="0"/>
          <w:bottom w:val="none" w:color="575651" w:sz="0" w:space="0"/>
          <w:right w:val="none" w:color="575651" w:sz="0" w:space="0"/>
        </w:pBdr>
        <w:spacing w:before="0" w:beforeAutospacing="0" w:after="0" w:afterAutospacing="0" w:line="347" w:lineRule="atLeast"/>
        <w:ind w:left="630" w:leftChars="0" w:right="0" w:rightChars="0"/>
        <w:textAlignment w:val="baseline"/>
        <w:rPr>
          <w:rFonts w:hint="default"/>
        </w:rPr>
      </w:pPr>
    </w:p>
    <w:p w14:paraId="3E8729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36"/>
          <w:szCs w:val="36"/>
          <w:vertAlign w:val="baseline"/>
          <w:lang w:val="en-US" w:eastAsia="zh-CN" w:bidi="ar-SA"/>
        </w:rPr>
        <w:t>Applications Across Key Industries</w:t>
      </w:r>
      <w:r>
        <w:rPr>
          <w:rFonts w:hint="eastAsia" w:cstheme="minorBidi"/>
          <w:kern w:val="2"/>
          <w:sz w:val="36"/>
          <w:szCs w:val="36"/>
          <w:vertAlign w:val="baseline"/>
          <w:lang w:val="en-US" w:eastAsia="zh-CN" w:bidi="ar-SA"/>
        </w:rPr>
        <w:t>:</w:t>
      </w:r>
      <w:r>
        <w:rPr>
          <w:rFonts w:hint="default" w:ascii="Arial" w:hAnsi="Arial" w:eastAsia="Helvetica" w:cs="Arial"/>
          <w:i w:val="0"/>
          <w:iCs w:val="0"/>
          <w:caps w:val="0"/>
          <w:color w:val="333333"/>
          <w:spacing w:val="0"/>
          <w:sz w:val="16"/>
          <w:szCs w:val="16"/>
          <w:bdr w:val="none" w:color="auto" w:sz="0" w:space="0"/>
          <w:shd w:val="clear" w:fill="FFFFFF"/>
        </w:rPr>
        <w:br w:type="textWrapping"/>
      </w:r>
      <w:r>
        <w:rPr>
          <w:rFonts w:hint="default" w:asciiTheme="minorHAnsi" w:hAnsiTheme="minorHAnsi" w:eastAsiaTheme="minorEastAsia" w:cstheme="minorBidi"/>
          <w:kern w:val="2"/>
          <w:sz w:val="21"/>
          <w:szCs w:val="24"/>
          <w:lang w:val="en-US" w:eastAsia="zh-CN" w:bidi="ar-SA"/>
        </w:rPr>
        <w:t>Titanium alloy build plates are becoming the backbone of advanced manufacturing sectors:</w:t>
      </w:r>
    </w:p>
    <w:p w14:paraId="6007B1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Pr>
          <w:rFonts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Aerospace: Used for printing lightweight turbine blades, brackets, and structural components requiring high fatigue resistance.</w:t>
      </w:r>
    </w:p>
    <w:p w14:paraId="5985A7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Pr>
          <w:rFonts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Medical: Essential for orthopedic implants, dental frameworks, and surgical tools, where biocompatibility and precision are critical.</w:t>
      </w:r>
    </w:p>
    <w:p w14:paraId="310ECF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Automotive: Enables the production of performance parts such as exhaust systems and engine housings with reduced weight and high durability.</w:t>
      </w:r>
    </w:p>
    <w:p w14:paraId="6451C9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Pr>
          <w:rFonts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Energy and Industrial: Supports 3D printing of components exposed to extreme heat and corrosion, such as heat exchangers or pump housings.</w:t>
      </w:r>
    </w:p>
    <w:p w14:paraId="59B27E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f-pro-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484EE"/>
    <w:multiLevelType w:val="multilevel"/>
    <w:tmpl w:val="BC8484EE"/>
    <w:lvl w:ilvl="0" w:tentative="0">
      <w:start w:val="1"/>
      <w:numFmt w:val="bullet"/>
      <w:lvlText w:val=""/>
      <w:lvlJc w:val="left"/>
      <w:pPr>
        <w:tabs>
          <w:tab w:val="left" w:pos="720"/>
        </w:tabs>
        <w:ind w:left="1068"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05DC4"/>
    <w:rsid w:val="26E10FF9"/>
    <w:rsid w:val="626A162E"/>
    <w:rsid w:val="6940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349</Words>
  <Characters>2154</Characters>
  <Lines>0</Lines>
  <Paragraphs>0</Paragraphs>
  <TotalTime>10</TotalTime>
  <ScaleCrop>false</ScaleCrop>
  <LinksUpToDate>false</LinksUpToDate>
  <CharactersWithSpaces>2492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2025-11-21T07:16:00Z</dcterms:created>
  <dc:creator>gaopei</dc:creator>
  <cp:lastModifiedBy>gaopei</cp:lastModifiedBy>
  <dcterms:modified xsi:type="dcterms:W3CDTF">2025-11-21T14:26:33Z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FFA88C77292A4F9FAEA500C81BCA1D1A_11</vt:lpwstr>
  </property>
  <property fmtid="{D5CDD505-2E9C-101B-9397-08002B2CF9AE}" pid="4" name="KSOTemplateDocerSaveRecord">
    <vt:lpwstr>eyJoZGlkIjoiMTM5ZTcyMzM4NDA0YWY0YThkYzIzMjc2YzUyMGNjYTciLCJ1c2VySWQiOiIxMTk5MTMxODUyIn0=</vt:lpwstr>
  </property>
</Properties>
</file>